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720"/>
        <w:jc w:val="right"/>
        <w:rPr>
          <w:rFonts w:ascii="宋体" w:cs="宋体"/>
          <w:sz w:val="18"/>
          <w:szCs w:val="18"/>
        </w:rPr>
      </w:pPr>
      <w:r>
        <w:rPr>
          <w:rFonts w:ascii="宋体" w:hAnsi="宋体" w:cs="宋体"/>
          <w:kern w:val="0"/>
          <w:sz w:val="24"/>
        </w:rPr>
        <w:drawing>
          <wp:anchor distT="0" distB="0" distL="114300" distR="114300" simplePos="0" relativeHeight="251659264" behindDoc="0" locked="0" layoutInCell="1" allowOverlap="1">
            <wp:simplePos x="0" y="0"/>
            <wp:positionH relativeFrom="column">
              <wp:posOffset>6043930</wp:posOffset>
            </wp:positionH>
            <wp:positionV relativeFrom="paragraph">
              <wp:posOffset>55880</wp:posOffset>
            </wp:positionV>
            <wp:extent cx="366395" cy="378460"/>
            <wp:effectExtent l="0" t="0" r="0" b="0"/>
            <wp:wrapSquare wrapText="bothSides"/>
            <wp:docPr id="4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9"/>
                    <pic:cNvPicPr>
                      <a:picLocks noChangeAspect="1" noChangeArrowheads="1"/>
                    </pic:cNvPicPr>
                  </pic:nvPicPr>
                  <pic:blipFill>
                    <a:blip r:embed="rId4"/>
                    <a:srcRect/>
                    <a:stretch>
                      <a:fillRect/>
                    </a:stretch>
                  </pic:blipFill>
                  <pic:spPr>
                    <a:xfrm>
                      <a:off x="0" y="0"/>
                      <a:ext cx="366395" cy="378460"/>
                    </a:xfrm>
                    <a:prstGeom prst="rect">
                      <a:avLst/>
                    </a:prstGeom>
                    <a:noFill/>
                  </pic:spPr>
                </pic:pic>
              </a:graphicData>
            </a:graphic>
          </wp:anchor>
        </w:drawing>
      </w:r>
    </w:p>
    <w:p>
      <w:pPr>
        <w:jc w:val="center"/>
        <w:rPr>
          <w:rFonts w:ascii="宋体" w:hAnsi="宋体"/>
          <w:sz w:val="24"/>
        </w:rPr>
      </w:pPr>
      <w:r>
        <w:rPr>
          <w:rFonts w:hint="eastAsia" w:ascii="宋体" w:hAnsi="宋体" w:cs="宋体"/>
          <w:sz w:val="24"/>
        </w:rPr>
        <w:t xml:space="preserve">         </w:t>
      </w:r>
      <w:r>
        <w:rPr>
          <w:rFonts w:hint="eastAsia" w:ascii="宋体" w:hAnsi="宋体"/>
          <w:sz w:val="24"/>
        </w:rPr>
        <w:t xml:space="preserve"> 天狼猩红染色液说明书</w:t>
      </w:r>
    </w:p>
    <w:p>
      <w:pPr>
        <w:rPr>
          <w:rFonts w:ascii="宋体" w:hAnsi="宋体" w:cs="宋体"/>
          <w:sz w:val="18"/>
          <w:szCs w:val="18"/>
        </w:rPr>
      </w:pPr>
      <w:r>
        <w:rPr>
          <w:rFonts w:hint="eastAsia" w:ascii="宋体" w:hAnsi="宋体" w:cs="宋体"/>
          <w:sz w:val="18"/>
          <w:szCs w:val="18"/>
        </w:rPr>
        <w:t>【产品名称】</w:t>
      </w:r>
    </w:p>
    <w:p>
      <w:pPr>
        <w:ind w:firstLine="345"/>
        <w:rPr>
          <w:rFonts w:hint="eastAsia" w:ascii="宋体" w:hAnsi="宋体" w:cs="宋体"/>
          <w:sz w:val="18"/>
          <w:szCs w:val="18"/>
        </w:rPr>
      </w:pPr>
      <w:r>
        <w:rPr>
          <w:rFonts w:hint="eastAsia" w:ascii="宋体" w:hAnsi="宋体" w:cs="宋体"/>
          <w:sz w:val="18"/>
          <w:szCs w:val="18"/>
        </w:rPr>
        <w:t>天狼猩红染色液</w:t>
      </w:r>
    </w:p>
    <w:p>
      <w:pPr>
        <w:rPr>
          <w:rFonts w:ascii="宋体" w:hAnsi="宋体" w:cs="宋体"/>
          <w:sz w:val="18"/>
          <w:szCs w:val="18"/>
        </w:rPr>
      </w:pPr>
      <w:r>
        <w:rPr>
          <w:rFonts w:hint="eastAsia" w:ascii="宋体" w:hAnsi="宋体" w:cs="宋体"/>
          <w:sz w:val="18"/>
          <w:szCs w:val="18"/>
        </w:rPr>
        <w:t>【包装规格】</w:t>
      </w:r>
    </w:p>
    <w:p>
      <w:pPr>
        <w:ind w:firstLine="345"/>
        <w:rPr>
          <w:rFonts w:ascii="宋体" w:hAnsi="宋体" w:cs="宋体"/>
          <w:sz w:val="18"/>
          <w:szCs w:val="18"/>
        </w:rPr>
      </w:pPr>
      <w:r>
        <w:rPr>
          <w:rFonts w:hint="eastAsia" w:ascii="宋体" w:hAnsi="宋体" w:cs="宋体"/>
          <w:sz w:val="18"/>
          <w:szCs w:val="18"/>
        </w:rPr>
        <w:t>单瓶包装规格分别为：20ml、100ml、250ml；</w:t>
      </w:r>
    </w:p>
    <w:p>
      <w:pPr>
        <w:ind w:left="-90" w:leftChars="-43" w:firstLine="450" w:firstLineChars="250"/>
        <w:rPr>
          <w:rFonts w:ascii="宋体" w:hAnsi="宋体" w:cs="宋体"/>
          <w:sz w:val="18"/>
          <w:szCs w:val="18"/>
        </w:rPr>
      </w:pPr>
      <w:r>
        <w:rPr>
          <w:rFonts w:hint="eastAsia" w:ascii="宋体" w:hAnsi="宋体" w:cs="宋体"/>
          <w:sz w:val="18"/>
          <w:szCs w:val="18"/>
        </w:rPr>
        <w:t>每套/盒包装规格分别为：2</w:t>
      </w:r>
      <w:r>
        <w:rPr>
          <w:rFonts w:ascii="宋体" w:hAnsi="宋体" w:cs="宋体"/>
          <w:sz w:val="18"/>
          <w:szCs w:val="18"/>
        </w:rPr>
        <w:t>×</w:t>
      </w:r>
      <w:r>
        <w:rPr>
          <w:rFonts w:hint="eastAsia" w:ascii="宋体" w:hAnsi="宋体" w:cs="宋体"/>
          <w:sz w:val="18"/>
          <w:szCs w:val="18"/>
        </w:rPr>
        <w:t>20ml/盒、2</w:t>
      </w:r>
      <w:r>
        <w:rPr>
          <w:rFonts w:ascii="宋体" w:hAnsi="宋体" w:cs="宋体"/>
          <w:sz w:val="18"/>
          <w:szCs w:val="18"/>
        </w:rPr>
        <w:t>×</w:t>
      </w:r>
      <w:r>
        <w:rPr>
          <w:rFonts w:hint="eastAsia" w:ascii="宋体" w:hAnsi="宋体" w:cs="宋体"/>
          <w:sz w:val="18"/>
          <w:szCs w:val="18"/>
        </w:rPr>
        <w:t>100ml/盒、2</w:t>
      </w:r>
      <w:r>
        <w:rPr>
          <w:rFonts w:ascii="宋体" w:hAnsi="宋体" w:cs="宋体"/>
          <w:sz w:val="18"/>
          <w:szCs w:val="18"/>
        </w:rPr>
        <w:t>×</w:t>
      </w:r>
      <w:r>
        <w:rPr>
          <w:rFonts w:hint="eastAsia" w:ascii="宋体" w:hAnsi="宋体" w:cs="宋体"/>
          <w:sz w:val="18"/>
          <w:szCs w:val="18"/>
        </w:rPr>
        <w:t>250ml/盒。</w:t>
      </w:r>
    </w:p>
    <w:p>
      <w:pPr>
        <w:rPr>
          <w:rFonts w:ascii="宋体" w:hAnsi="宋体" w:cs="宋体"/>
          <w:sz w:val="18"/>
          <w:szCs w:val="18"/>
        </w:rPr>
      </w:pPr>
      <w:r>
        <w:rPr>
          <w:rFonts w:hint="eastAsia" w:ascii="宋体" w:hAnsi="宋体" w:cs="宋体"/>
          <w:sz w:val="18"/>
          <w:szCs w:val="18"/>
        </w:rPr>
        <w:t>【预期用途】</w:t>
      </w:r>
    </w:p>
    <w:p>
      <w:pPr>
        <w:ind w:firstLine="360" w:firstLineChars="200"/>
        <w:rPr>
          <w:rFonts w:ascii="宋体" w:hAnsi="宋体" w:cs="宋体"/>
          <w:sz w:val="18"/>
          <w:szCs w:val="18"/>
        </w:rPr>
      </w:pPr>
      <w:r>
        <w:rPr>
          <w:rFonts w:hint="eastAsia" w:ascii="宋体" w:hAnsi="宋体" w:cs="宋体"/>
          <w:sz w:val="18"/>
          <w:szCs w:val="18"/>
        </w:rPr>
        <w:t>主要用于胶原纤维的组织学染色。</w:t>
      </w:r>
    </w:p>
    <w:p>
      <w:pPr>
        <w:rPr>
          <w:rFonts w:ascii="宋体" w:hAnsi="宋体" w:cs="宋体"/>
          <w:sz w:val="18"/>
          <w:szCs w:val="18"/>
        </w:rPr>
      </w:pPr>
      <w:r>
        <w:rPr>
          <w:rFonts w:hint="eastAsia" w:ascii="宋体" w:hAnsi="宋体" w:cs="宋体"/>
          <w:sz w:val="18"/>
          <w:szCs w:val="18"/>
        </w:rPr>
        <w:t>【检验原理】</w:t>
      </w:r>
    </w:p>
    <w:p>
      <w:pPr>
        <w:ind w:firstLine="345"/>
        <w:rPr>
          <w:rFonts w:ascii="宋体" w:hAnsi="宋体" w:cs="宋体"/>
          <w:sz w:val="18"/>
          <w:szCs w:val="18"/>
        </w:rPr>
      </w:pPr>
      <w:r>
        <w:rPr>
          <w:rFonts w:hint="eastAsia" w:ascii="宋体" w:hAnsi="宋体" w:cs="宋体"/>
          <w:sz w:val="18"/>
          <w:szCs w:val="18"/>
        </w:rPr>
        <w:t>天狼猩红染色液 (又称天狼星红染色液)的染色原理是天狼猩红与其衬染液都是强酸性染料，易与胶原分子中的碱性基团结合，吸附牢固；偏振光镜检查时胶原纤维有正的单轴双折射光的属性，与天狼猩红染液结合后可增强双折射，提高分辨率，从而区分两型胶原纤维，主要用于各种组织病变时对胶原纤维异常或纤维增生判断中，在光学显微镜下心脏血管等组织的胶原纤维被染成红色，在偏振光镜下对各种纤维化病变的分型和分级研究有一定的帮助作用。虽然采用免疫组化技术也可显示Ⅰ、Ⅲ型胶原纤维，但所用抗体昂贵，操作费时，而采用天狼星红染色价格便宜，操作简单。</w:t>
      </w:r>
    </w:p>
    <w:p>
      <w:pPr>
        <w:rPr>
          <w:rFonts w:ascii="宋体" w:hAnsi="宋体" w:cs="宋体"/>
          <w:sz w:val="18"/>
          <w:szCs w:val="18"/>
        </w:rPr>
      </w:pPr>
      <w:r>
        <w:rPr>
          <w:rFonts w:hint="eastAsia" w:ascii="宋体" w:hAnsi="宋体" w:cs="宋体"/>
          <w:sz w:val="18"/>
          <w:szCs w:val="18"/>
        </w:rPr>
        <w:t>【主要组成成分】</w:t>
      </w:r>
    </w:p>
    <w:tbl>
      <w:tblPr>
        <w:tblStyle w:val="7"/>
        <w:tblpPr w:leftFromText="180" w:rightFromText="180" w:vertAnchor="text" w:horzAnchor="margin" w:tblpXSpec="center" w:tblpY="2"/>
        <w:tblOverlap w:val="never"/>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92"/>
        <w:gridCol w:w="3622"/>
        <w:gridCol w:w="2407"/>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1292" w:type="dxa"/>
            <w:tcBorders>
              <w:bottom w:val="single" w:color="auto" w:sz="4" w:space="0"/>
            </w:tcBorders>
          </w:tcPr>
          <w:p>
            <w:pPr>
              <w:rPr>
                <w:rFonts w:ascii="宋体" w:cs="宋体"/>
                <w:sz w:val="18"/>
                <w:szCs w:val="18"/>
              </w:rPr>
            </w:pPr>
          </w:p>
        </w:tc>
        <w:tc>
          <w:tcPr>
            <w:tcW w:w="3622" w:type="dxa"/>
            <w:tcBorders>
              <w:bottom w:val="single" w:color="auto" w:sz="4" w:space="0"/>
            </w:tcBorders>
          </w:tcPr>
          <w:p>
            <w:pPr>
              <w:ind w:firstLine="90" w:firstLineChars="50"/>
              <w:rPr>
                <w:rFonts w:ascii="宋体" w:cs="宋体"/>
                <w:sz w:val="18"/>
                <w:szCs w:val="18"/>
              </w:rPr>
            </w:pPr>
            <w:r>
              <w:rPr>
                <w:rFonts w:hint="eastAsia" w:ascii="宋体" w:hAnsi="宋体" w:cs="宋体"/>
                <w:sz w:val="18"/>
                <w:szCs w:val="18"/>
              </w:rPr>
              <w:t>试剂组成</w:t>
            </w:r>
            <w:r>
              <w:rPr>
                <w:rFonts w:ascii="宋体" w:hAnsi="宋体" w:cs="宋体"/>
                <w:sz w:val="18"/>
                <w:szCs w:val="18"/>
              </w:rPr>
              <w:t xml:space="preserve">   </w:t>
            </w:r>
          </w:p>
        </w:tc>
        <w:tc>
          <w:tcPr>
            <w:tcW w:w="2407" w:type="dxa"/>
            <w:tcBorders>
              <w:bottom w:val="single" w:color="auto" w:sz="4" w:space="0"/>
            </w:tcBorders>
          </w:tcPr>
          <w:p>
            <w:pPr>
              <w:rPr>
                <w:rFonts w:ascii="宋体" w:cs="宋体"/>
                <w:sz w:val="18"/>
                <w:szCs w:val="18"/>
              </w:rPr>
            </w:pPr>
            <w:r>
              <w:rPr>
                <w:rFonts w:hint="eastAsia" w:ascii="宋体" w:hAnsi="宋体" w:cs="宋体"/>
                <w:sz w:val="18"/>
                <w:szCs w:val="18"/>
              </w:rPr>
              <w:t>主要成分</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92" w:type="dxa"/>
            <w:tcBorders>
              <w:top w:val="single" w:color="auto" w:sz="4" w:space="0"/>
              <w:bottom w:val="nil"/>
            </w:tcBorders>
          </w:tcPr>
          <w:p>
            <w:pPr>
              <w:rPr>
                <w:rFonts w:ascii="宋体" w:cs="宋体"/>
                <w:sz w:val="18"/>
                <w:szCs w:val="18"/>
              </w:rPr>
            </w:pPr>
          </w:p>
        </w:tc>
        <w:tc>
          <w:tcPr>
            <w:tcW w:w="3622" w:type="dxa"/>
            <w:tcBorders>
              <w:top w:val="single" w:color="auto" w:sz="4" w:space="0"/>
              <w:bottom w:val="nil"/>
            </w:tcBorders>
          </w:tcPr>
          <w:p>
            <w:pPr>
              <w:rPr>
                <w:rFonts w:ascii="宋体" w:cs="宋体"/>
                <w:sz w:val="18"/>
                <w:szCs w:val="18"/>
              </w:rPr>
            </w:pPr>
            <w:r>
              <w:rPr>
                <w:rFonts w:hint="eastAsia" w:ascii="宋体" w:hAnsi="宋体" w:cs="宋体"/>
                <w:sz w:val="18"/>
                <w:szCs w:val="18"/>
              </w:rPr>
              <w:t>1、天狼猩红染液</w:t>
            </w:r>
          </w:p>
        </w:tc>
        <w:tc>
          <w:tcPr>
            <w:tcW w:w="2407" w:type="dxa"/>
            <w:tcBorders>
              <w:top w:val="single" w:color="auto" w:sz="4" w:space="0"/>
              <w:bottom w:val="nil"/>
            </w:tcBorders>
          </w:tcPr>
          <w:p>
            <w:pPr>
              <w:rPr>
                <w:rFonts w:ascii="宋体" w:cs="宋体"/>
                <w:sz w:val="18"/>
                <w:szCs w:val="18"/>
              </w:rPr>
            </w:pPr>
            <w:r>
              <w:rPr>
                <w:rFonts w:hint="eastAsia" w:ascii="宋体" w:hAnsi="宋体" w:cs="宋体"/>
                <w:sz w:val="18"/>
                <w:szCs w:val="18"/>
              </w:rPr>
              <w:t>天狼猩红</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1292" w:type="dxa"/>
            <w:tcBorders>
              <w:top w:val="nil"/>
            </w:tcBorders>
          </w:tcPr>
          <w:p>
            <w:pPr>
              <w:rPr>
                <w:rFonts w:ascii="宋体" w:cs="宋体"/>
                <w:sz w:val="18"/>
                <w:szCs w:val="18"/>
              </w:rPr>
            </w:pPr>
          </w:p>
        </w:tc>
        <w:tc>
          <w:tcPr>
            <w:tcW w:w="3622" w:type="dxa"/>
            <w:tcBorders>
              <w:top w:val="nil"/>
            </w:tcBorders>
          </w:tcPr>
          <w:p>
            <w:pPr>
              <w:rPr>
                <w:rFonts w:ascii="宋体" w:hAnsi="宋体" w:cs="宋体"/>
                <w:sz w:val="18"/>
                <w:szCs w:val="18"/>
              </w:rPr>
            </w:pPr>
            <w:r>
              <w:rPr>
                <w:rFonts w:hint="eastAsia" w:ascii="宋体" w:hAnsi="宋体" w:cs="宋体"/>
                <w:sz w:val="18"/>
                <w:szCs w:val="18"/>
              </w:rPr>
              <w:t>2、苏木素染色液(Mayer型)</w:t>
            </w:r>
          </w:p>
        </w:tc>
        <w:tc>
          <w:tcPr>
            <w:tcW w:w="2407" w:type="dxa"/>
            <w:tcBorders>
              <w:top w:val="nil"/>
            </w:tcBorders>
          </w:tcPr>
          <w:p>
            <w:pPr>
              <w:rPr>
                <w:rFonts w:ascii="宋体" w:hAnsi="宋体" w:cs="宋体"/>
                <w:sz w:val="18"/>
                <w:szCs w:val="18"/>
              </w:rPr>
            </w:pPr>
            <w:r>
              <w:rPr>
                <w:rFonts w:hint="eastAsia" w:ascii="宋体" w:hAnsi="宋体" w:cs="宋体"/>
                <w:sz w:val="18"/>
                <w:szCs w:val="18"/>
              </w:rPr>
              <w:t>苏木色精</w:t>
            </w:r>
          </w:p>
        </w:tc>
      </w:tr>
    </w:tbl>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p>
    <w:p>
      <w:pPr>
        <w:rPr>
          <w:rFonts w:ascii="宋体" w:hAnsi="宋体" w:cs="宋体"/>
          <w:sz w:val="18"/>
          <w:szCs w:val="18"/>
        </w:rPr>
      </w:pPr>
      <w:r>
        <w:rPr>
          <w:rFonts w:hint="eastAsia" w:ascii="宋体" w:hAnsi="宋体" w:cs="宋体"/>
          <w:sz w:val="18"/>
          <w:szCs w:val="18"/>
        </w:rPr>
        <w:t>【储存条件及有效期】</w:t>
      </w:r>
    </w:p>
    <w:p>
      <w:pPr>
        <w:ind w:firstLine="360" w:firstLineChars="200"/>
        <w:rPr>
          <w:rFonts w:ascii="宋体" w:hAnsi="宋体" w:cs="宋体"/>
          <w:sz w:val="18"/>
          <w:szCs w:val="18"/>
        </w:rPr>
      </w:pPr>
      <w:r>
        <w:rPr>
          <w:rFonts w:hint="eastAsia" w:ascii="宋体" w:hAnsi="宋体" w:cs="宋体"/>
          <w:sz w:val="18"/>
          <w:szCs w:val="18"/>
        </w:rPr>
        <w:t>5℃～35℃保存，原包装未开封固定液的有效期为12个月，在有效期内的已开封试剂建议在开封后6个月内使用完，每次用后及时拧紧瓶盖，以免挥发或变质。</w:t>
      </w:r>
    </w:p>
    <w:p>
      <w:pPr>
        <w:rPr>
          <w:rFonts w:ascii="宋体" w:hAnsi="宋体" w:cs="宋体"/>
          <w:sz w:val="18"/>
          <w:szCs w:val="18"/>
        </w:rPr>
      </w:pPr>
      <w:r>
        <w:rPr>
          <w:rFonts w:hint="eastAsia" w:ascii="宋体" w:hAnsi="宋体" w:cs="宋体"/>
          <w:sz w:val="18"/>
          <w:szCs w:val="18"/>
        </w:rPr>
        <w:t>【样本要求】</w:t>
      </w:r>
    </w:p>
    <w:p>
      <w:pPr>
        <w:rPr>
          <w:rFonts w:ascii="宋体" w:cs="宋体"/>
          <w:sz w:val="18"/>
          <w:szCs w:val="18"/>
        </w:rPr>
      </w:pPr>
      <w:r>
        <w:rPr>
          <w:rFonts w:hint="eastAsia" w:ascii="宋体" w:hAnsi="宋体" w:cs="宋体"/>
          <w:sz w:val="18"/>
          <w:szCs w:val="18"/>
        </w:rPr>
        <w:t xml:space="preserve">    组织充分固定和脱蜡。</w:t>
      </w:r>
    </w:p>
    <w:p>
      <w:pPr>
        <w:rPr>
          <w:rFonts w:ascii="宋体" w:hAnsi="宋体" w:cs="宋体"/>
          <w:sz w:val="18"/>
          <w:szCs w:val="18"/>
        </w:rPr>
      </w:pPr>
      <w:r>
        <w:rPr>
          <w:rFonts w:hint="eastAsia" w:ascii="宋体" w:hAnsi="宋体" w:cs="宋体"/>
          <w:sz w:val="18"/>
          <w:szCs w:val="18"/>
        </w:rPr>
        <w:t>【检验方法】</w:t>
      </w:r>
    </w:p>
    <w:p>
      <w:pPr>
        <w:pStyle w:val="17"/>
        <w:numPr>
          <w:ilvl w:val="0"/>
          <w:numId w:val="1"/>
        </w:numPr>
        <w:ind w:firstLineChars="0"/>
        <w:rPr>
          <w:rFonts w:ascii="宋体" w:hAnsi="宋体" w:cs="宋体"/>
          <w:sz w:val="18"/>
          <w:szCs w:val="18"/>
        </w:rPr>
      </w:pPr>
      <w:r>
        <w:rPr>
          <w:rFonts w:hint="eastAsia" w:ascii="宋体" w:hAnsi="宋体" w:cs="宋体"/>
          <w:sz w:val="18"/>
          <w:szCs w:val="18"/>
        </w:rPr>
        <w:t>组织固定于10%中性福尔马林固定液，常规脱水包埋，切片厚6μm，常规脱蜡至水；</w:t>
      </w:r>
    </w:p>
    <w:p>
      <w:pPr>
        <w:pStyle w:val="17"/>
        <w:numPr>
          <w:ilvl w:val="0"/>
          <w:numId w:val="1"/>
        </w:numPr>
        <w:ind w:firstLineChars="0"/>
        <w:rPr>
          <w:rFonts w:ascii="宋体" w:hAnsi="宋体" w:cs="宋体"/>
          <w:sz w:val="18"/>
          <w:szCs w:val="18"/>
        </w:rPr>
      </w:pPr>
      <w:r>
        <w:rPr>
          <w:rFonts w:hint="eastAsia" w:ascii="宋体" w:hAnsi="宋体" w:cs="宋体"/>
          <w:sz w:val="18"/>
          <w:szCs w:val="18"/>
        </w:rPr>
        <w:t>天狼猩红染液滴染或浸染1小时，对于较易上色组织可把染色时间控制在15～20分钟，流水稍冲洗，去除切片表面染液；</w:t>
      </w:r>
    </w:p>
    <w:p>
      <w:pPr>
        <w:pStyle w:val="17"/>
        <w:numPr>
          <w:ilvl w:val="0"/>
          <w:numId w:val="1"/>
        </w:numPr>
        <w:ind w:firstLineChars="0"/>
        <w:rPr>
          <w:rFonts w:ascii="宋体" w:hAnsi="宋体" w:cs="宋体"/>
          <w:sz w:val="18"/>
          <w:szCs w:val="18"/>
        </w:rPr>
      </w:pPr>
      <w:r>
        <w:rPr>
          <w:rFonts w:hint="eastAsia" w:ascii="宋体" w:hAnsi="宋体" w:cs="宋体"/>
          <w:sz w:val="18"/>
          <w:szCs w:val="18"/>
        </w:rPr>
        <w:t>苏木素染色液(Mayer型)染细胞核</w:t>
      </w:r>
      <w:r>
        <w:rPr>
          <w:rFonts w:hint="eastAsia" w:ascii="宋体" w:hAnsi="宋体" w:cs="宋体"/>
          <w:sz w:val="18"/>
          <w:szCs w:val="18"/>
          <w:lang w:val="en-US" w:eastAsia="zh-CN"/>
        </w:rPr>
        <w:t>8</w:t>
      </w:r>
      <w:r>
        <w:rPr>
          <w:rFonts w:hint="eastAsia" w:ascii="宋体" w:hAnsi="宋体" w:cs="宋体"/>
          <w:sz w:val="18"/>
          <w:szCs w:val="18"/>
        </w:rPr>
        <w:t>～</w:t>
      </w:r>
      <w:r>
        <w:rPr>
          <w:rFonts w:hint="eastAsia" w:ascii="宋体" w:hAnsi="宋体" w:cs="宋体"/>
          <w:sz w:val="18"/>
          <w:szCs w:val="18"/>
          <w:lang w:val="en-US" w:eastAsia="zh-CN"/>
        </w:rPr>
        <w:t>10</w:t>
      </w:r>
      <w:r>
        <w:rPr>
          <w:rFonts w:hint="eastAsia" w:ascii="宋体" w:hAnsi="宋体" w:cs="宋体"/>
          <w:sz w:val="18"/>
          <w:szCs w:val="18"/>
        </w:rPr>
        <w:t xml:space="preserve">分钟，流水冲洗10分钟； </w:t>
      </w:r>
    </w:p>
    <w:p>
      <w:pPr>
        <w:pStyle w:val="17"/>
        <w:numPr>
          <w:ilvl w:val="0"/>
          <w:numId w:val="1"/>
        </w:numPr>
        <w:ind w:firstLineChars="0"/>
        <w:rPr>
          <w:rFonts w:ascii="宋体" w:hAnsi="宋体" w:cs="宋体"/>
          <w:sz w:val="18"/>
          <w:szCs w:val="18"/>
        </w:rPr>
      </w:pPr>
      <w:r>
        <w:rPr>
          <w:rFonts w:hint="eastAsia" w:ascii="宋体" w:hAnsi="宋体" w:cs="宋体"/>
          <w:sz w:val="18"/>
          <w:szCs w:val="18"/>
        </w:rPr>
        <w:t>常规脱水，环保浸蜡脱蜡透明液或二甲苯透明，中性树胶封固，镜检。</w:t>
      </w:r>
    </w:p>
    <w:p>
      <w:pPr>
        <w:rPr>
          <w:rFonts w:ascii="宋体" w:hAnsi="宋体" w:cs="宋体"/>
          <w:sz w:val="18"/>
          <w:szCs w:val="18"/>
        </w:rPr>
      </w:pPr>
      <w:r>
        <w:rPr>
          <w:rFonts w:hint="eastAsia" w:ascii="宋体" w:hAnsi="宋体" w:cs="宋体"/>
          <w:sz w:val="18"/>
          <w:szCs w:val="18"/>
        </w:rPr>
        <w:t>【检验结果的解释】</w:t>
      </w:r>
    </w:p>
    <w:p>
      <w:pPr>
        <w:ind w:firstLine="360"/>
        <w:rPr>
          <w:rFonts w:ascii="宋体" w:hAnsi="宋体" w:cs="宋体"/>
          <w:sz w:val="18"/>
          <w:szCs w:val="18"/>
        </w:rPr>
      </w:pPr>
      <w:r>
        <w:rPr>
          <w:rFonts w:hint="eastAsia" w:ascii="宋体" w:hAnsi="宋体" w:cs="宋体"/>
          <w:sz w:val="18"/>
          <w:szCs w:val="18"/>
        </w:rPr>
        <w:t>普通光学显微镜：胶原纤维呈红色，细胞核呈蓝色；偏振光显微镜：Ⅰ胶原纤维呈强橙黄色或亮红色，Ⅲ型胶原纤维呈绿色。</w:t>
      </w:r>
    </w:p>
    <w:p>
      <w:pPr>
        <w:rPr>
          <w:rFonts w:ascii="宋体" w:hAnsi="宋体" w:cs="宋体"/>
          <w:sz w:val="18"/>
          <w:szCs w:val="18"/>
        </w:rPr>
      </w:pPr>
      <w:r>
        <w:rPr>
          <w:rFonts w:hint="eastAsia" w:ascii="宋体" w:hAnsi="宋体" w:cs="宋体"/>
          <w:sz w:val="18"/>
          <w:szCs w:val="18"/>
        </w:rPr>
        <w:t>【检验方法的局限性】</w:t>
      </w:r>
    </w:p>
    <w:p>
      <w:pPr>
        <w:ind w:firstLine="360"/>
        <w:rPr>
          <w:rFonts w:ascii="宋体" w:hAnsi="宋体" w:cs="宋体"/>
          <w:sz w:val="18"/>
          <w:szCs w:val="18"/>
        </w:rPr>
      </w:pPr>
      <w:r>
        <w:rPr>
          <w:rFonts w:hint="eastAsia" w:ascii="宋体" w:hAnsi="宋体" w:cs="宋体"/>
          <w:sz w:val="18"/>
          <w:szCs w:val="18"/>
        </w:rPr>
        <w:t>仅限于组织形态学染色观察使用。</w:t>
      </w:r>
    </w:p>
    <w:p>
      <w:pPr>
        <w:rPr>
          <w:rFonts w:ascii="宋体" w:hAnsi="宋体" w:cs="宋体"/>
          <w:sz w:val="18"/>
          <w:szCs w:val="18"/>
        </w:rPr>
      </w:pPr>
      <w:r>
        <w:rPr>
          <w:rFonts w:hint="eastAsia" w:ascii="宋体" w:hAnsi="宋体" w:cs="宋体"/>
          <w:sz w:val="18"/>
          <w:szCs w:val="18"/>
        </w:rPr>
        <w:t>【产品性能指标】</w:t>
      </w:r>
    </w:p>
    <w:p>
      <w:pPr>
        <w:ind w:firstLine="345"/>
        <w:rPr>
          <w:rFonts w:ascii="宋体" w:hAnsi="宋体" w:cs="宋体"/>
          <w:sz w:val="18"/>
          <w:szCs w:val="18"/>
        </w:rPr>
      </w:pPr>
      <w:r>
        <w:rPr>
          <w:rFonts w:hint="eastAsia" w:ascii="宋体" w:hAnsi="宋体" w:cs="宋体"/>
          <w:sz w:val="18"/>
          <w:szCs w:val="18"/>
        </w:rPr>
        <w:t>天狼猩红染液的颜色为红色；</w:t>
      </w:r>
    </w:p>
    <w:p>
      <w:pPr>
        <w:ind w:firstLine="345"/>
        <w:rPr>
          <w:rFonts w:ascii="宋体" w:hAnsi="宋体" w:cs="宋体"/>
          <w:sz w:val="18"/>
          <w:szCs w:val="18"/>
        </w:rPr>
      </w:pPr>
      <w:r>
        <w:rPr>
          <w:rFonts w:hint="eastAsia" w:ascii="宋体" w:hAnsi="宋体" w:cs="宋体"/>
          <w:sz w:val="18"/>
          <w:szCs w:val="18"/>
        </w:rPr>
        <w:t>苏木素染色液的颜色为红色。</w:t>
      </w:r>
    </w:p>
    <w:p>
      <w:pPr>
        <w:rPr>
          <w:rFonts w:ascii="宋体" w:hAnsi="宋体" w:cs="宋体"/>
          <w:sz w:val="18"/>
          <w:szCs w:val="18"/>
        </w:rPr>
      </w:pPr>
      <w:r>
        <w:rPr>
          <w:rFonts w:hint="eastAsia" w:ascii="宋体" w:hAnsi="宋体" w:cs="宋体"/>
          <w:sz w:val="18"/>
          <w:szCs w:val="18"/>
        </w:rPr>
        <w:t>【注意事项】</w:t>
      </w:r>
    </w:p>
    <w:p>
      <w:pPr>
        <w:ind w:firstLine="360" w:firstLineChars="200"/>
        <w:rPr>
          <w:rFonts w:ascii="宋体" w:hAnsi="宋体" w:cs="宋体"/>
          <w:sz w:val="18"/>
          <w:szCs w:val="18"/>
        </w:rPr>
      </w:pPr>
      <w:r>
        <w:rPr>
          <w:rFonts w:hint="eastAsia" w:ascii="宋体" w:hAnsi="宋体" w:cs="宋体"/>
          <w:sz w:val="18"/>
          <w:szCs w:val="18"/>
        </w:rPr>
        <w:t xml:space="preserve">1、为使在偏振光镜下显示清晰，本法的切片厚度以6～7μm为宜。 </w:t>
      </w:r>
    </w:p>
    <w:p>
      <w:pPr>
        <w:ind w:firstLine="360" w:firstLineChars="200"/>
        <w:rPr>
          <w:rFonts w:ascii="宋体" w:hAnsi="宋体" w:cs="宋体"/>
          <w:sz w:val="18"/>
          <w:szCs w:val="18"/>
        </w:rPr>
      </w:pPr>
      <w:r>
        <w:rPr>
          <w:rFonts w:hint="eastAsia" w:ascii="宋体" w:hAnsi="宋体" w:cs="宋体"/>
          <w:sz w:val="18"/>
          <w:szCs w:val="18"/>
        </w:rPr>
        <w:t>2、复染胞核宜用苏木素染色液(Mayer型)，它不影响Ⅰ型和Ⅲ型胶原纤维的数量和双折射强度的显示；亦可采用其他明矾苏木素，但染色时应缩短时间，否则容易染色过深。</w:t>
      </w:r>
    </w:p>
    <w:p>
      <w:pPr>
        <w:ind w:firstLine="360" w:firstLineChars="200"/>
        <w:rPr>
          <w:rFonts w:ascii="宋体" w:hAnsi="宋体" w:cs="宋体"/>
          <w:sz w:val="18"/>
          <w:szCs w:val="18"/>
        </w:rPr>
      </w:pPr>
      <w:r>
        <w:rPr>
          <w:rFonts w:hint="eastAsia" w:ascii="宋体" w:hAnsi="宋体" w:cs="宋体"/>
          <w:sz w:val="18"/>
          <w:szCs w:val="18"/>
        </w:rPr>
        <w:t>3、本产品仅用于体外诊断，应由专业人士使用及进行结果的判读。</w:t>
      </w:r>
    </w:p>
    <w:p>
      <w:pPr>
        <w:pStyle w:val="17"/>
        <w:ind w:left="360" w:firstLine="0" w:firstLineChars="0"/>
        <w:rPr>
          <w:rFonts w:asciiTheme="minorEastAsia" w:hAnsiTheme="minorEastAsia" w:eastAsiaTheme="minorEastAsia"/>
          <w:sz w:val="18"/>
          <w:szCs w:val="18"/>
        </w:rPr>
      </w:pPr>
      <w:r>
        <w:rPr>
          <w:rFonts w:hint="eastAsia" w:ascii="宋体" w:hAnsi="宋体" w:cs="宋体"/>
          <w:sz w:val="18"/>
          <w:szCs w:val="18"/>
        </w:rPr>
        <w:t>4、使用前应详细阅读说明书，</w:t>
      </w:r>
      <w:r>
        <w:rPr>
          <w:rFonts w:hint="eastAsia" w:asciiTheme="minorEastAsia" w:hAnsiTheme="minorEastAsia" w:eastAsiaTheme="minorEastAsia"/>
          <w:sz w:val="18"/>
          <w:szCs w:val="18"/>
        </w:rPr>
        <w:t>并做好个人卫生防护，在有效期内使用，生产日期(生产批号)和有效期至(失效日期)见包装。</w:t>
      </w:r>
    </w:p>
    <w:p>
      <w:pPr>
        <w:pStyle w:val="17"/>
        <w:ind w:left="360"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5、用后应按医院或环保部门要求处置废弃物。</w:t>
      </w:r>
    </w:p>
    <w:p>
      <w:pPr>
        <w:rPr>
          <w:rFonts w:ascii="宋体" w:hAnsi="宋体" w:cs="宋体"/>
          <w:sz w:val="18"/>
          <w:szCs w:val="18"/>
        </w:rPr>
      </w:pPr>
      <w:r>
        <w:rPr>
          <w:rFonts w:hint="eastAsia" w:ascii="宋体" w:hAnsi="宋体" w:cs="宋体"/>
          <w:sz w:val="18"/>
          <w:szCs w:val="18"/>
        </w:rPr>
        <w:t>【标识的解释】</w:t>
      </w:r>
    </w:p>
    <w:p>
      <w:pPr>
        <w:tabs>
          <w:tab w:val="left" w:pos="4072"/>
        </w:tabs>
        <w:spacing w:line="240" w:lineRule="atLeast"/>
        <w:ind w:firstLine="420" w:firstLineChars="200"/>
        <w:rPr>
          <w:rFonts w:ascii="宋体" w:hAnsi="宋体" w:cs="宋体"/>
          <w:sz w:val="18"/>
          <w:szCs w:val="18"/>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412750</wp:posOffset>
                </wp:positionH>
                <wp:positionV relativeFrom="paragraph">
                  <wp:posOffset>13335</wp:posOffset>
                </wp:positionV>
                <wp:extent cx="254000" cy="165735"/>
                <wp:effectExtent l="7620" t="7620" r="17780" b="17145"/>
                <wp:wrapNone/>
                <wp:docPr id="1" name="文本框 6"/>
                <wp:cNvGraphicFramePr/>
                <a:graphic xmlns:a="http://schemas.openxmlformats.org/drawingml/2006/main">
                  <a:graphicData uri="http://schemas.microsoft.com/office/word/2010/wordprocessingShape">
                    <wps:wsp>
                      <wps:cNvSpPr txBox="1"/>
                      <wps:spPr>
                        <a:xfrm>
                          <a:off x="0" y="0"/>
                          <a:ext cx="254000" cy="165735"/>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spacing w:line="260" w:lineRule="exact"/>
                              <w:jc w:val="center"/>
                              <w:rPr>
                                <w:b/>
                                <w:sz w:val="24"/>
                              </w:rPr>
                            </w:pPr>
                            <w:r>
                              <w:rPr>
                                <w:b/>
                                <w:sz w:val="24"/>
                              </w:rPr>
                              <w:t>IVD</w:t>
                            </w:r>
                          </w:p>
                        </w:txbxContent>
                      </wps:txbx>
                      <wps:bodyPr lIns="0" tIns="0" rIns="0" bIns="0" upright="1"/>
                    </wps:wsp>
                  </a:graphicData>
                </a:graphic>
              </wp:anchor>
            </w:drawing>
          </mc:Choice>
          <mc:Fallback>
            <w:pict>
              <v:shape id="文本框 6" o:spid="_x0000_s1026" o:spt="202" type="#_x0000_t202" style="position:absolute;left:0pt;margin-left:32.5pt;margin-top:1.05pt;height:13.05pt;width:20pt;z-index:251660288;mso-width-relative:page;mso-height-relative:page;" fillcolor="#FFFFFF" filled="t" stroked="t" coordsize="21600,21600" o:gfxdata="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qqrKNtUAAAAHAQAADwAA&#10;AAAAAAABACAAAAAiAAAAZHJzL2Rvd25yZXYueG1sUEsBAhQAFAAAAAgAh07iQL//PoBSAgAA4QQA&#10;AA4AAAAAAAAAAQAgAAAAJAEAAGRycy9lMm9Eb2MueG1sUEsFBgAAAAAGAAYAWQEAAOgFAAAAAA==&#10;">
                <v:fill type="gradient" on="t" color2="#FFFFFF" angle="90" focus="100%" focussize="0f,0f" focusposition="0f,0f">
                  <o:fill type="gradientUnscaled" v:ext="backwardCompatible"/>
                </v:fill>
                <v:stroke weight="1.25pt" color="#000000" joinstyle="miter"/>
                <v:imagedata o:title=""/>
                <o:lock v:ext="edit" aspectratio="f"/>
                <v:textbox inset="0mm,0mm,0mm,0mm">
                  <w:txbxContent>
                    <w:p>
                      <w:pPr>
                        <w:spacing w:line="260" w:lineRule="exact"/>
                        <w:jc w:val="center"/>
                        <w:rPr>
                          <w:b/>
                          <w:sz w:val="24"/>
                        </w:rPr>
                      </w:pPr>
                      <w:r>
                        <w:rPr>
                          <w:b/>
                          <w:sz w:val="24"/>
                        </w:rPr>
                        <w:t>IVD</w:t>
                      </w:r>
                    </w:p>
                  </w:txbxContent>
                </v:textbox>
              </v:shape>
            </w:pict>
          </mc:Fallback>
        </mc:AlternateContent>
      </w:r>
      <w:r>
        <w:rPr>
          <w:rFonts w:ascii="宋体" w:hAnsi="宋体" w:cs="宋体"/>
          <w:sz w:val="18"/>
          <w:szCs w:val="18"/>
        </w:rPr>
        <w:t>1</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体外诊断医疗器械</w:t>
      </w:r>
      <w:r>
        <w:rPr>
          <w:rFonts w:ascii="宋体" w:hAnsi="宋体" w:cs="宋体"/>
          <w:sz w:val="18"/>
          <w:szCs w:val="18"/>
        </w:rPr>
        <w:tab/>
      </w:r>
    </w:p>
    <w:p>
      <w:pPr>
        <w:spacing w:line="240" w:lineRule="atLeast"/>
        <w:ind w:firstLine="420" w:firstLineChars="200"/>
        <w:rPr>
          <w:rFonts w:ascii="宋体" w:hAnsi="宋体" w:cs="宋体"/>
          <w:sz w:val="18"/>
          <w:szCs w:val="18"/>
        </w:rPr>
      </w:pPr>
      <w:r>
        <w:rPr>
          <w:rFonts w:ascii="宋体" w:hAnsi="宋体"/>
        </w:rPr>
        <w:drawing>
          <wp:anchor distT="0" distB="0" distL="114300" distR="114300" simplePos="0" relativeHeight="251661312" behindDoc="0" locked="0" layoutInCell="1" allowOverlap="1">
            <wp:simplePos x="0" y="0"/>
            <wp:positionH relativeFrom="column">
              <wp:posOffset>412750</wp:posOffset>
            </wp:positionH>
            <wp:positionV relativeFrom="paragraph">
              <wp:posOffset>24130</wp:posOffset>
            </wp:positionV>
            <wp:extent cx="286385" cy="191135"/>
            <wp:effectExtent l="19050" t="0" r="0" b="0"/>
            <wp:wrapNone/>
            <wp:docPr id="5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
                    <pic:cNvPicPr>
                      <a:picLocks noChangeAspect="1" noChangeArrowheads="1"/>
                    </pic:cNvPicPr>
                  </pic:nvPicPr>
                  <pic:blipFill>
                    <a:blip r:embed="rId5">
                      <a:clrChange>
                        <a:clrFrom>
                          <a:srgbClr val="F4F4F4"/>
                        </a:clrFrom>
                        <a:clrTo>
                          <a:srgbClr val="F4F4F4">
                            <a:alpha val="0"/>
                          </a:srgbClr>
                        </a:clrTo>
                      </a:clrChange>
                    </a:blip>
                    <a:srcRect/>
                    <a:stretch>
                      <a:fillRect/>
                    </a:stretch>
                  </pic:blipFill>
                  <pic:spPr>
                    <a:xfrm>
                      <a:off x="0" y="0"/>
                      <a:ext cx="286385" cy="191135"/>
                    </a:xfrm>
                    <a:prstGeom prst="rect">
                      <a:avLst/>
                    </a:prstGeom>
                    <a:noFill/>
                    <a:ln w="9525">
                      <a:noFill/>
                      <a:miter lim="800000"/>
                      <a:headEnd/>
                      <a:tailEnd/>
                    </a:ln>
                  </pic:spPr>
                </pic:pic>
              </a:graphicData>
            </a:graphic>
          </wp:anchor>
        </w:drawing>
      </w:r>
      <w:r>
        <w:rPr>
          <w:rFonts w:ascii="宋体" w:hAnsi="宋体" w:cs="宋体"/>
          <w:sz w:val="18"/>
          <w:szCs w:val="18"/>
        </w:rPr>
        <w:t>2</w:t>
      </w:r>
      <w:r>
        <w:rPr>
          <w:rFonts w:hint="eastAsia" w:ascii="宋体" w:hAnsi="宋体" w:cs="宋体"/>
          <w:sz w:val="18"/>
          <w:szCs w:val="18"/>
        </w:rPr>
        <w:t>、     参阅使用说明书</w:t>
      </w:r>
    </w:p>
    <w:p>
      <w:pPr>
        <w:rPr>
          <w:rFonts w:ascii="宋体" w:hAnsi="宋体" w:cs="宋体"/>
          <w:sz w:val="18"/>
          <w:szCs w:val="18"/>
        </w:rPr>
      </w:pPr>
      <w:r>
        <w:rPr>
          <w:rFonts w:hint="eastAsia" w:ascii="宋体" w:hAnsi="宋体" w:cs="宋体"/>
          <w:sz w:val="18"/>
          <w:szCs w:val="18"/>
        </w:rPr>
        <w:t>【参考文献】</w:t>
      </w:r>
    </w:p>
    <w:p>
      <w:pPr>
        <w:pStyle w:val="17"/>
        <w:numPr>
          <w:ilvl w:val="0"/>
          <w:numId w:val="2"/>
        </w:numPr>
        <w:ind w:firstLineChars="0"/>
        <w:jc w:val="left"/>
        <w:rPr>
          <w:rFonts w:ascii="宋体" w:hAnsi="宋体" w:cs="宋体"/>
          <w:sz w:val="18"/>
          <w:szCs w:val="18"/>
        </w:rPr>
      </w:pPr>
      <w:r>
        <w:rPr>
          <w:rFonts w:hint="eastAsia" w:ascii="宋体" w:hAnsi="宋体" w:cs="宋体"/>
          <w:sz w:val="18"/>
          <w:szCs w:val="18"/>
        </w:rPr>
        <w:t>潘琳，实验病理学技术图鉴[M]科技出版社</w:t>
      </w:r>
    </w:p>
    <w:p>
      <w:pPr>
        <w:pStyle w:val="17"/>
        <w:numPr>
          <w:ilvl w:val="0"/>
          <w:numId w:val="2"/>
        </w:numPr>
        <w:ind w:firstLineChars="0"/>
        <w:jc w:val="left"/>
        <w:rPr>
          <w:rFonts w:asciiTheme="minorEastAsia" w:hAnsiTheme="minorEastAsia" w:eastAsiaTheme="minorEastAsia"/>
          <w:sz w:val="18"/>
          <w:szCs w:val="18"/>
        </w:rPr>
      </w:pPr>
      <w:r>
        <w:rPr>
          <w:rFonts w:hint="eastAsia" w:asciiTheme="minorEastAsia" w:hAnsiTheme="minorEastAsia" w:eastAsiaTheme="minorEastAsia"/>
          <w:sz w:val="18"/>
          <w:szCs w:val="18"/>
        </w:rPr>
        <w:t>梁英杰，临床病理学技术[M]人民卫生出版社</w:t>
      </w:r>
    </w:p>
    <w:p>
      <w:pPr>
        <w:pStyle w:val="17"/>
        <w:numPr>
          <w:ilvl w:val="0"/>
          <w:numId w:val="2"/>
        </w:numPr>
        <w:ind w:firstLineChars="0"/>
        <w:jc w:val="left"/>
        <w:rPr>
          <w:rFonts w:asciiTheme="minorEastAsia" w:hAnsiTheme="minorEastAsia" w:eastAsiaTheme="minorEastAsia"/>
          <w:sz w:val="18"/>
          <w:szCs w:val="18"/>
        </w:rPr>
      </w:pPr>
      <w:r>
        <w:rPr>
          <w:rFonts w:hint="eastAsia" w:asciiTheme="minorEastAsia" w:hAnsiTheme="minorEastAsia" w:eastAsiaTheme="minorEastAsia"/>
          <w:sz w:val="18"/>
          <w:szCs w:val="18"/>
        </w:rPr>
        <w:t>中华医学会，临床技术操作规范-病理学分册[M]人民军医出版社</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【基本信息】</w:t>
      </w:r>
    </w:p>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备案人/生产企业名称：安徽雷根生物技术有限公司</w:t>
      </w:r>
    </w:p>
    <w:p>
      <w:pPr>
        <w:ind w:firstLine="360" w:firstLineChars="200"/>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住所：</w:t>
      </w:r>
      <w:r>
        <w:rPr>
          <w:rFonts w:hint="eastAsia" w:asciiTheme="minorEastAsia" w:hAnsiTheme="minorEastAsia" w:eastAsiaTheme="minorEastAsia"/>
          <w:sz w:val="18"/>
          <w:szCs w:val="18"/>
          <w:lang w:eastAsia="zh-CN"/>
        </w:rPr>
        <w:t>安徽省淮北市相山区相山经济开发区仪凤路19-18号</w:t>
      </w:r>
    </w:p>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联系方式：0561-3069111/3883088    邮政编码：235000</w:t>
      </w:r>
    </w:p>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网址: www.leagene.cn  www.leagene.com 电子邮件：leagene@126.com</w:t>
      </w:r>
    </w:p>
    <w:p>
      <w:pPr>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售后服后服务单位名称：</w:t>
      </w:r>
    </w:p>
    <w:p>
      <w:pPr>
        <w:ind w:firstLine="720" w:firstLineChars="400"/>
        <w:rPr>
          <w:rFonts w:asciiTheme="minorEastAsia" w:hAnsiTheme="minorEastAsia" w:eastAsiaTheme="minorEastAsia"/>
          <w:sz w:val="18"/>
          <w:szCs w:val="18"/>
        </w:rPr>
      </w:pPr>
      <w:r>
        <w:rPr>
          <w:rFonts w:hint="eastAsia" w:asciiTheme="minorEastAsia" w:hAnsiTheme="minorEastAsia" w:eastAsiaTheme="minorEastAsia"/>
          <w:sz w:val="18"/>
          <w:szCs w:val="18"/>
        </w:rPr>
        <w:t>安徽雷根生物技术有限公司 0561-3069111/3883088</w:t>
      </w:r>
    </w:p>
    <w:p>
      <w:pPr>
        <w:ind w:firstLine="720" w:firstLineChars="400"/>
        <w:rPr>
          <w:rFonts w:asciiTheme="minorEastAsia" w:hAnsiTheme="minorEastAsia" w:eastAsiaTheme="minorEastAsia"/>
          <w:sz w:val="18"/>
          <w:szCs w:val="18"/>
        </w:rPr>
      </w:pPr>
      <w:r>
        <w:rPr>
          <w:rFonts w:hint="eastAsia" w:asciiTheme="minorEastAsia" w:hAnsiTheme="minorEastAsia" w:eastAsiaTheme="minorEastAsia"/>
          <w:sz w:val="18"/>
          <w:szCs w:val="18"/>
        </w:rPr>
        <w:t>北京雷根生物技术有限公司 4000000455 010-83611923/83326332</w:t>
      </w:r>
    </w:p>
    <w:p>
      <w:pPr>
        <w:rPr>
          <w:rFonts w:hint="eastAsia" w:asciiTheme="minorEastAsia" w:hAnsiTheme="minorEastAsia" w:eastAsiaTheme="minorEastAsia"/>
          <w:sz w:val="18"/>
          <w:szCs w:val="18"/>
          <w:lang w:eastAsia="zh-CN"/>
        </w:rPr>
      </w:pPr>
      <w:r>
        <w:rPr>
          <w:rFonts w:hint="eastAsia" w:asciiTheme="minorEastAsia" w:hAnsiTheme="minorEastAsia" w:eastAsiaTheme="minorEastAsia"/>
          <w:sz w:val="18"/>
          <w:szCs w:val="18"/>
        </w:rPr>
        <w:t xml:space="preserve">    生产地址：</w:t>
      </w:r>
      <w:r>
        <w:rPr>
          <w:rFonts w:hint="eastAsia" w:asciiTheme="minorEastAsia" w:hAnsiTheme="minorEastAsia" w:eastAsiaTheme="minorEastAsia"/>
          <w:sz w:val="18"/>
          <w:szCs w:val="18"/>
          <w:lang w:eastAsia="zh-CN"/>
        </w:rPr>
        <w:t>安徽省淮北市相山区相山经济开发区仪凤路19-18号</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【医疗器械生产备案凭证编号】皖淮药监械生产备20170002号</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【医疗器械备案凭证编号/</w:t>
      </w:r>
      <w:r>
        <w:rPr>
          <w:rFonts w:hint="eastAsia" w:ascii="宋体" w:hAnsi="宋体" w:cs="宋体"/>
          <w:sz w:val="18"/>
          <w:szCs w:val="18"/>
        </w:rPr>
        <w:t>产品技术要求编号</w:t>
      </w:r>
      <w:r>
        <w:rPr>
          <w:rFonts w:hint="eastAsia" w:asciiTheme="minorEastAsia" w:hAnsiTheme="minorEastAsia" w:eastAsiaTheme="minorEastAsia"/>
          <w:sz w:val="18"/>
          <w:szCs w:val="18"/>
        </w:rPr>
        <w:t>】皖淮械备</w:t>
      </w:r>
      <w:r>
        <w:rPr>
          <w:rFonts w:hint="eastAsia" w:asciiTheme="minorEastAsia" w:hAnsiTheme="minorEastAsia" w:eastAsiaTheme="minorEastAsia"/>
          <w:sz w:val="18"/>
          <w:szCs w:val="18"/>
          <w:lang w:val="en-US" w:eastAsia="zh-CN"/>
        </w:rPr>
        <w:t>20210022</w:t>
      </w:r>
      <w:r>
        <w:rPr>
          <w:rFonts w:hint="eastAsia" w:asciiTheme="minorEastAsia" w:hAnsiTheme="minorEastAsia" w:eastAsiaTheme="minorEastAsia"/>
          <w:sz w:val="18"/>
          <w:szCs w:val="18"/>
        </w:rPr>
        <w:t>号</w:t>
      </w:r>
    </w:p>
    <w:p>
      <w:pPr>
        <w:rPr>
          <w:rFonts w:ascii="宋体" w:cs="宋体"/>
          <w:sz w:val="18"/>
          <w:szCs w:val="18"/>
        </w:rPr>
      </w:pPr>
      <w:r>
        <w:rPr>
          <w:rFonts w:hint="eastAsia" w:ascii="宋体" w:hAnsi="宋体" w:cs="宋体"/>
          <w:sz w:val="18"/>
          <w:szCs w:val="18"/>
        </w:rPr>
        <w:t>【说明书核准日期】202</w:t>
      </w:r>
      <w:r>
        <w:rPr>
          <w:rFonts w:hint="eastAsia" w:ascii="宋体" w:hAnsi="宋体" w:cs="宋体"/>
          <w:sz w:val="18"/>
          <w:szCs w:val="18"/>
          <w:lang w:val="en-US" w:eastAsia="zh-CN"/>
        </w:rPr>
        <w:t>2</w:t>
      </w:r>
      <w:r>
        <w:rPr>
          <w:rFonts w:hint="eastAsia" w:ascii="宋体" w:hAnsi="宋体" w:cs="宋体"/>
          <w:sz w:val="18"/>
          <w:szCs w:val="18"/>
        </w:rPr>
        <w:t>年</w:t>
      </w:r>
      <w:r>
        <w:rPr>
          <w:rFonts w:hint="eastAsia" w:ascii="宋体" w:hAnsi="宋体" w:cs="宋体"/>
          <w:sz w:val="18"/>
          <w:szCs w:val="18"/>
          <w:lang w:val="en-US" w:eastAsia="zh-CN"/>
        </w:rPr>
        <w:t>5</w:t>
      </w:r>
      <w:r>
        <w:rPr>
          <w:rFonts w:hint="eastAsia" w:ascii="宋体" w:hAnsi="宋体" w:cs="宋体"/>
          <w:sz w:val="18"/>
          <w:szCs w:val="18"/>
        </w:rPr>
        <w:t>月</w:t>
      </w:r>
      <w:r>
        <w:rPr>
          <w:rFonts w:ascii="宋体" w:hAnsi="宋体" w:cs="宋体"/>
          <w:sz w:val="18"/>
          <w:szCs w:val="18"/>
        </w:rPr>
        <w:t>1</w:t>
      </w:r>
      <w:r>
        <w:rPr>
          <w:rFonts w:hint="eastAsia" w:ascii="宋体" w:hAnsi="宋体" w:cs="宋体"/>
          <w:sz w:val="18"/>
          <w:szCs w:val="18"/>
          <w:lang w:val="en-US" w:eastAsia="zh-CN"/>
        </w:rPr>
        <w:t>3</w:t>
      </w:r>
      <w:r>
        <w:rPr>
          <w:rFonts w:hint="eastAsia" w:ascii="宋体" w:hAnsi="宋体" w:cs="宋体"/>
          <w:sz w:val="18"/>
          <w:szCs w:val="18"/>
        </w:rPr>
        <w:t>日  说明书版本号：A</w:t>
      </w:r>
      <w:r>
        <w:rPr>
          <w:rFonts w:hint="eastAsia" w:ascii="宋体" w:hAnsi="宋体" w:cs="宋体"/>
          <w:sz w:val="18"/>
          <w:szCs w:val="18"/>
          <w:lang w:val="en-US" w:eastAsia="zh-CN"/>
        </w:rPr>
        <w:t>1</w:t>
      </w:r>
      <w:bookmarkStart w:id="0" w:name="_GoBack"/>
      <w:bookmarkEnd w:id="0"/>
      <w:r>
        <w:rPr>
          <w:rFonts w:ascii="宋体" w:hAnsi="宋体" w:cs="宋体"/>
          <w:sz w:val="18"/>
          <w:szCs w:val="18"/>
        </w:rPr>
        <w:t xml:space="preserve"> </w:t>
      </w:r>
    </w:p>
    <w:p>
      <w:pPr>
        <w:rPr>
          <w:rFonts w:ascii="宋体" w:cs="宋体"/>
          <w:sz w:val="18"/>
          <w:szCs w:val="18"/>
        </w:rPr>
      </w:pPr>
    </w:p>
    <w:sectPr>
      <w:pgSz w:w="11906" w:h="16838"/>
      <w:pgMar w:top="680" w:right="567" w:bottom="340"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632ED3"/>
    <w:multiLevelType w:val="multilevel"/>
    <w:tmpl w:val="15632ED3"/>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524146E4"/>
    <w:multiLevelType w:val="multilevel"/>
    <w:tmpl w:val="524146E4"/>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OTI3OTE3NTg4YzJiMWRlOTQ1MjhiMGRlYmU3NGYifQ=="/>
  </w:docVars>
  <w:rsids>
    <w:rsidRoot w:val="00B82DD8"/>
    <w:rsid w:val="00006D01"/>
    <w:rsid w:val="00006E67"/>
    <w:rsid w:val="00011806"/>
    <w:rsid w:val="00016CC2"/>
    <w:rsid w:val="00016D9E"/>
    <w:rsid w:val="00020F57"/>
    <w:rsid w:val="00045353"/>
    <w:rsid w:val="0004680B"/>
    <w:rsid w:val="00053A43"/>
    <w:rsid w:val="000602EC"/>
    <w:rsid w:val="00070392"/>
    <w:rsid w:val="00072136"/>
    <w:rsid w:val="000762E4"/>
    <w:rsid w:val="0007731E"/>
    <w:rsid w:val="00081456"/>
    <w:rsid w:val="000835E0"/>
    <w:rsid w:val="00084FA0"/>
    <w:rsid w:val="00087F05"/>
    <w:rsid w:val="000901B1"/>
    <w:rsid w:val="00095170"/>
    <w:rsid w:val="0009679E"/>
    <w:rsid w:val="000A1DDF"/>
    <w:rsid w:val="000A25FC"/>
    <w:rsid w:val="000A3A7A"/>
    <w:rsid w:val="000A583D"/>
    <w:rsid w:val="000B2D96"/>
    <w:rsid w:val="000B5EEA"/>
    <w:rsid w:val="000C2444"/>
    <w:rsid w:val="000C6F88"/>
    <w:rsid w:val="000C7C6E"/>
    <w:rsid w:val="000D50E6"/>
    <w:rsid w:val="000E2953"/>
    <w:rsid w:val="000F1054"/>
    <w:rsid w:val="000F31E5"/>
    <w:rsid w:val="000F3FED"/>
    <w:rsid w:val="00100543"/>
    <w:rsid w:val="00126A59"/>
    <w:rsid w:val="0013517A"/>
    <w:rsid w:val="00136B5E"/>
    <w:rsid w:val="00150820"/>
    <w:rsid w:val="00150A85"/>
    <w:rsid w:val="00150D6B"/>
    <w:rsid w:val="0015407F"/>
    <w:rsid w:val="00155B85"/>
    <w:rsid w:val="00156770"/>
    <w:rsid w:val="00166679"/>
    <w:rsid w:val="00185047"/>
    <w:rsid w:val="0019232F"/>
    <w:rsid w:val="001A113C"/>
    <w:rsid w:val="001A34BB"/>
    <w:rsid w:val="001B504B"/>
    <w:rsid w:val="001B6206"/>
    <w:rsid w:val="001B6385"/>
    <w:rsid w:val="001B6956"/>
    <w:rsid w:val="001C5597"/>
    <w:rsid w:val="001E280E"/>
    <w:rsid w:val="001E686A"/>
    <w:rsid w:val="001F1B26"/>
    <w:rsid w:val="001F2C12"/>
    <w:rsid w:val="001F7FF9"/>
    <w:rsid w:val="002211D3"/>
    <w:rsid w:val="00223DC1"/>
    <w:rsid w:val="002240BF"/>
    <w:rsid w:val="00226802"/>
    <w:rsid w:val="002314CB"/>
    <w:rsid w:val="00231E03"/>
    <w:rsid w:val="00231E0B"/>
    <w:rsid w:val="0024086B"/>
    <w:rsid w:val="00240D00"/>
    <w:rsid w:val="0025017C"/>
    <w:rsid w:val="00250BFE"/>
    <w:rsid w:val="002515E1"/>
    <w:rsid w:val="00262350"/>
    <w:rsid w:val="002654B7"/>
    <w:rsid w:val="00265A10"/>
    <w:rsid w:val="00265C51"/>
    <w:rsid w:val="0026741F"/>
    <w:rsid w:val="002720FF"/>
    <w:rsid w:val="00275229"/>
    <w:rsid w:val="00276E24"/>
    <w:rsid w:val="0029478A"/>
    <w:rsid w:val="002A0063"/>
    <w:rsid w:val="002A69BD"/>
    <w:rsid w:val="002B2EE7"/>
    <w:rsid w:val="002C519D"/>
    <w:rsid w:val="002E0778"/>
    <w:rsid w:val="002E0934"/>
    <w:rsid w:val="002E490F"/>
    <w:rsid w:val="002F3003"/>
    <w:rsid w:val="003149F8"/>
    <w:rsid w:val="003153CD"/>
    <w:rsid w:val="00345309"/>
    <w:rsid w:val="00351328"/>
    <w:rsid w:val="00353ECE"/>
    <w:rsid w:val="00354F98"/>
    <w:rsid w:val="00361BD0"/>
    <w:rsid w:val="003745BC"/>
    <w:rsid w:val="00374E1E"/>
    <w:rsid w:val="0037610C"/>
    <w:rsid w:val="003764D0"/>
    <w:rsid w:val="00381C06"/>
    <w:rsid w:val="003933A3"/>
    <w:rsid w:val="003B2CCC"/>
    <w:rsid w:val="003C1F8F"/>
    <w:rsid w:val="003C2601"/>
    <w:rsid w:val="003D018A"/>
    <w:rsid w:val="003D29D9"/>
    <w:rsid w:val="003E78C2"/>
    <w:rsid w:val="003F21B8"/>
    <w:rsid w:val="003F6FBE"/>
    <w:rsid w:val="0040485B"/>
    <w:rsid w:val="00405985"/>
    <w:rsid w:val="004068DD"/>
    <w:rsid w:val="00414FCB"/>
    <w:rsid w:val="004203C4"/>
    <w:rsid w:val="00424C40"/>
    <w:rsid w:val="00426144"/>
    <w:rsid w:val="0042697B"/>
    <w:rsid w:val="00426B56"/>
    <w:rsid w:val="00434F56"/>
    <w:rsid w:val="00435235"/>
    <w:rsid w:val="00457154"/>
    <w:rsid w:val="00457DAA"/>
    <w:rsid w:val="0046770F"/>
    <w:rsid w:val="004677EB"/>
    <w:rsid w:val="00470291"/>
    <w:rsid w:val="00475E8F"/>
    <w:rsid w:val="00494483"/>
    <w:rsid w:val="0049723B"/>
    <w:rsid w:val="00497D9E"/>
    <w:rsid w:val="004D467B"/>
    <w:rsid w:val="004D7A80"/>
    <w:rsid w:val="004E0873"/>
    <w:rsid w:val="004E1D30"/>
    <w:rsid w:val="004F0103"/>
    <w:rsid w:val="004F54DB"/>
    <w:rsid w:val="00505609"/>
    <w:rsid w:val="005061FC"/>
    <w:rsid w:val="005076E3"/>
    <w:rsid w:val="00510BD4"/>
    <w:rsid w:val="00514B67"/>
    <w:rsid w:val="00514F05"/>
    <w:rsid w:val="00522A7D"/>
    <w:rsid w:val="00530301"/>
    <w:rsid w:val="00557261"/>
    <w:rsid w:val="00564DE9"/>
    <w:rsid w:val="00565E76"/>
    <w:rsid w:val="00571D14"/>
    <w:rsid w:val="00592DF0"/>
    <w:rsid w:val="00593A36"/>
    <w:rsid w:val="005A3A36"/>
    <w:rsid w:val="005B51E7"/>
    <w:rsid w:val="005B5650"/>
    <w:rsid w:val="005C38ED"/>
    <w:rsid w:val="005D0067"/>
    <w:rsid w:val="005D4ED3"/>
    <w:rsid w:val="005D549C"/>
    <w:rsid w:val="005E2BB2"/>
    <w:rsid w:val="005E5CBA"/>
    <w:rsid w:val="005F219C"/>
    <w:rsid w:val="005F3091"/>
    <w:rsid w:val="00601EAC"/>
    <w:rsid w:val="006142D4"/>
    <w:rsid w:val="006621A6"/>
    <w:rsid w:val="006703C9"/>
    <w:rsid w:val="00675672"/>
    <w:rsid w:val="0068561F"/>
    <w:rsid w:val="00687CE4"/>
    <w:rsid w:val="0069522B"/>
    <w:rsid w:val="006A5665"/>
    <w:rsid w:val="006A5F0A"/>
    <w:rsid w:val="006B340B"/>
    <w:rsid w:val="006C0326"/>
    <w:rsid w:val="006C0B81"/>
    <w:rsid w:val="006D0640"/>
    <w:rsid w:val="006D1535"/>
    <w:rsid w:val="006D6298"/>
    <w:rsid w:val="006E235F"/>
    <w:rsid w:val="006E7A6A"/>
    <w:rsid w:val="007004DE"/>
    <w:rsid w:val="00702BFF"/>
    <w:rsid w:val="007033D7"/>
    <w:rsid w:val="0071627F"/>
    <w:rsid w:val="0072023E"/>
    <w:rsid w:val="007202E4"/>
    <w:rsid w:val="00722EBC"/>
    <w:rsid w:val="00725357"/>
    <w:rsid w:val="00725905"/>
    <w:rsid w:val="00727F72"/>
    <w:rsid w:val="00733E0F"/>
    <w:rsid w:val="00745788"/>
    <w:rsid w:val="007462A2"/>
    <w:rsid w:val="00746E05"/>
    <w:rsid w:val="007516D9"/>
    <w:rsid w:val="00753896"/>
    <w:rsid w:val="00767C5F"/>
    <w:rsid w:val="00770AAE"/>
    <w:rsid w:val="00773880"/>
    <w:rsid w:val="00775ED4"/>
    <w:rsid w:val="0078081A"/>
    <w:rsid w:val="0078426D"/>
    <w:rsid w:val="007912FE"/>
    <w:rsid w:val="007935E6"/>
    <w:rsid w:val="007944EB"/>
    <w:rsid w:val="007A4B80"/>
    <w:rsid w:val="007A502B"/>
    <w:rsid w:val="007A5E69"/>
    <w:rsid w:val="007A662E"/>
    <w:rsid w:val="007A696B"/>
    <w:rsid w:val="007A757C"/>
    <w:rsid w:val="007B22F0"/>
    <w:rsid w:val="007B3806"/>
    <w:rsid w:val="007C68EF"/>
    <w:rsid w:val="007D2334"/>
    <w:rsid w:val="007D4EF6"/>
    <w:rsid w:val="007D72DE"/>
    <w:rsid w:val="007E10D9"/>
    <w:rsid w:val="007E783D"/>
    <w:rsid w:val="007F70B5"/>
    <w:rsid w:val="007F71A9"/>
    <w:rsid w:val="00807246"/>
    <w:rsid w:val="00810002"/>
    <w:rsid w:val="008102B5"/>
    <w:rsid w:val="00816961"/>
    <w:rsid w:val="008370DA"/>
    <w:rsid w:val="008551D1"/>
    <w:rsid w:val="00863564"/>
    <w:rsid w:val="00865F41"/>
    <w:rsid w:val="00870B29"/>
    <w:rsid w:val="0089019E"/>
    <w:rsid w:val="00894DB9"/>
    <w:rsid w:val="0089762F"/>
    <w:rsid w:val="008B3291"/>
    <w:rsid w:val="008B5FCF"/>
    <w:rsid w:val="008C1387"/>
    <w:rsid w:val="008C19D1"/>
    <w:rsid w:val="008C5BE5"/>
    <w:rsid w:val="008C6035"/>
    <w:rsid w:val="008C6969"/>
    <w:rsid w:val="008E068F"/>
    <w:rsid w:val="008E3527"/>
    <w:rsid w:val="008E3D27"/>
    <w:rsid w:val="008E5E2A"/>
    <w:rsid w:val="008F049B"/>
    <w:rsid w:val="008F0E10"/>
    <w:rsid w:val="008F1B1C"/>
    <w:rsid w:val="008F3674"/>
    <w:rsid w:val="008F4166"/>
    <w:rsid w:val="009035AE"/>
    <w:rsid w:val="0091267E"/>
    <w:rsid w:val="00912BB7"/>
    <w:rsid w:val="00914EDF"/>
    <w:rsid w:val="009171EE"/>
    <w:rsid w:val="00917CDF"/>
    <w:rsid w:val="00921091"/>
    <w:rsid w:val="00923C9B"/>
    <w:rsid w:val="0094228B"/>
    <w:rsid w:val="009440EF"/>
    <w:rsid w:val="0095053A"/>
    <w:rsid w:val="00951448"/>
    <w:rsid w:val="0095504C"/>
    <w:rsid w:val="009660F0"/>
    <w:rsid w:val="00980245"/>
    <w:rsid w:val="0098237E"/>
    <w:rsid w:val="00984025"/>
    <w:rsid w:val="00994578"/>
    <w:rsid w:val="009A70E5"/>
    <w:rsid w:val="009B3353"/>
    <w:rsid w:val="009E675D"/>
    <w:rsid w:val="009F61EB"/>
    <w:rsid w:val="00A026AE"/>
    <w:rsid w:val="00A03855"/>
    <w:rsid w:val="00A0413D"/>
    <w:rsid w:val="00A0464D"/>
    <w:rsid w:val="00A056F9"/>
    <w:rsid w:val="00A14C6F"/>
    <w:rsid w:val="00A154FD"/>
    <w:rsid w:val="00A17776"/>
    <w:rsid w:val="00A3711E"/>
    <w:rsid w:val="00A460C6"/>
    <w:rsid w:val="00A52D4F"/>
    <w:rsid w:val="00A551CE"/>
    <w:rsid w:val="00A63AAD"/>
    <w:rsid w:val="00A666A8"/>
    <w:rsid w:val="00A67AFD"/>
    <w:rsid w:val="00A7074E"/>
    <w:rsid w:val="00A9005F"/>
    <w:rsid w:val="00A90639"/>
    <w:rsid w:val="00A93B25"/>
    <w:rsid w:val="00AA6EA9"/>
    <w:rsid w:val="00AB027F"/>
    <w:rsid w:val="00AB2D17"/>
    <w:rsid w:val="00AB4D8E"/>
    <w:rsid w:val="00AB68BE"/>
    <w:rsid w:val="00AC31F0"/>
    <w:rsid w:val="00AC33A8"/>
    <w:rsid w:val="00AD1D15"/>
    <w:rsid w:val="00AD3076"/>
    <w:rsid w:val="00AE6CD1"/>
    <w:rsid w:val="00AF47BB"/>
    <w:rsid w:val="00AF7F37"/>
    <w:rsid w:val="00B11BD8"/>
    <w:rsid w:val="00B11D5D"/>
    <w:rsid w:val="00B14354"/>
    <w:rsid w:val="00B1672A"/>
    <w:rsid w:val="00B3585D"/>
    <w:rsid w:val="00B40674"/>
    <w:rsid w:val="00B4584E"/>
    <w:rsid w:val="00B45D96"/>
    <w:rsid w:val="00B5329B"/>
    <w:rsid w:val="00B56F77"/>
    <w:rsid w:val="00B65C67"/>
    <w:rsid w:val="00B72EE6"/>
    <w:rsid w:val="00B770B4"/>
    <w:rsid w:val="00B8056D"/>
    <w:rsid w:val="00B82DD8"/>
    <w:rsid w:val="00B85226"/>
    <w:rsid w:val="00B90C19"/>
    <w:rsid w:val="00B90CA7"/>
    <w:rsid w:val="00BA1EDA"/>
    <w:rsid w:val="00BB0812"/>
    <w:rsid w:val="00BC2FF5"/>
    <w:rsid w:val="00BC37AC"/>
    <w:rsid w:val="00BC7721"/>
    <w:rsid w:val="00BE33D5"/>
    <w:rsid w:val="00BE3935"/>
    <w:rsid w:val="00BE4153"/>
    <w:rsid w:val="00BF2514"/>
    <w:rsid w:val="00BF35D0"/>
    <w:rsid w:val="00C06A4B"/>
    <w:rsid w:val="00C10AE1"/>
    <w:rsid w:val="00C24D91"/>
    <w:rsid w:val="00C3113A"/>
    <w:rsid w:val="00C314F1"/>
    <w:rsid w:val="00C33CBD"/>
    <w:rsid w:val="00C37306"/>
    <w:rsid w:val="00C37C08"/>
    <w:rsid w:val="00C37CD2"/>
    <w:rsid w:val="00C470BF"/>
    <w:rsid w:val="00C4776B"/>
    <w:rsid w:val="00C608D7"/>
    <w:rsid w:val="00C64783"/>
    <w:rsid w:val="00C73A83"/>
    <w:rsid w:val="00C861DA"/>
    <w:rsid w:val="00C95E15"/>
    <w:rsid w:val="00CA1772"/>
    <w:rsid w:val="00CA351B"/>
    <w:rsid w:val="00CB1552"/>
    <w:rsid w:val="00CD7E3B"/>
    <w:rsid w:val="00CF7E76"/>
    <w:rsid w:val="00D01E6A"/>
    <w:rsid w:val="00D04C06"/>
    <w:rsid w:val="00D256A8"/>
    <w:rsid w:val="00D271F1"/>
    <w:rsid w:val="00D27360"/>
    <w:rsid w:val="00D35A68"/>
    <w:rsid w:val="00D36ABE"/>
    <w:rsid w:val="00D40BB3"/>
    <w:rsid w:val="00D4234C"/>
    <w:rsid w:val="00D53EB3"/>
    <w:rsid w:val="00D64AB9"/>
    <w:rsid w:val="00D6659E"/>
    <w:rsid w:val="00D66CBE"/>
    <w:rsid w:val="00D82871"/>
    <w:rsid w:val="00D90F99"/>
    <w:rsid w:val="00D91899"/>
    <w:rsid w:val="00DA2F20"/>
    <w:rsid w:val="00DA357D"/>
    <w:rsid w:val="00DB14C7"/>
    <w:rsid w:val="00DB576F"/>
    <w:rsid w:val="00DB6DDE"/>
    <w:rsid w:val="00DC31D5"/>
    <w:rsid w:val="00DC6176"/>
    <w:rsid w:val="00E026AB"/>
    <w:rsid w:val="00E02D21"/>
    <w:rsid w:val="00E02E09"/>
    <w:rsid w:val="00E066DC"/>
    <w:rsid w:val="00E13D87"/>
    <w:rsid w:val="00E26E2A"/>
    <w:rsid w:val="00E3278F"/>
    <w:rsid w:val="00E3506E"/>
    <w:rsid w:val="00E365B5"/>
    <w:rsid w:val="00E411AC"/>
    <w:rsid w:val="00E4462E"/>
    <w:rsid w:val="00E507C0"/>
    <w:rsid w:val="00E51A6A"/>
    <w:rsid w:val="00E53137"/>
    <w:rsid w:val="00E53DE3"/>
    <w:rsid w:val="00E63B44"/>
    <w:rsid w:val="00E64E56"/>
    <w:rsid w:val="00E67C60"/>
    <w:rsid w:val="00E719F9"/>
    <w:rsid w:val="00E726F5"/>
    <w:rsid w:val="00E8123A"/>
    <w:rsid w:val="00E8126F"/>
    <w:rsid w:val="00E94245"/>
    <w:rsid w:val="00E9728A"/>
    <w:rsid w:val="00EA19EE"/>
    <w:rsid w:val="00EB2738"/>
    <w:rsid w:val="00EB7AE8"/>
    <w:rsid w:val="00EC1B8E"/>
    <w:rsid w:val="00EC22DB"/>
    <w:rsid w:val="00EC2BFC"/>
    <w:rsid w:val="00EC75C9"/>
    <w:rsid w:val="00ED4059"/>
    <w:rsid w:val="00ED4632"/>
    <w:rsid w:val="00EE0A40"/>
    <w:rsid w:val="00EE3DDB"/>
    <w:rsid w:val="00EF043A"/>
    <w:rsid w:val="00EF7767"/>
    <w:rsid w:val="00F05E01"/>
    <w:rsid w:val="00F13485"/>
    <w:rsid w:val="00F15233"/>
    <w:rsid w:val="00F20003"/>
    <w:rsid w:val="00F30530"/>
    <w:rsid w:val="00F324DA"/>
    <w:rsid w:val="00F32EA9"/>
    <w:rsid w:val="00F347E7"/>
    <w:rsid w:val="00F34D1D"/>
    <w:rsid w:val="00F5065E"/>
    <w:rsid w:val="00F522F3"/>
    <w:rsid w:val="00F52D83"/>
    <w:rsid w:val="00F5443D"/>
    <w:rsid w:val="00F61919"/>
    <w:rsid w:val="00F71735"/>
    <w:rsid w:val="00F80FC9"/>
    <w:rsid w:val="00F87F29"/>
    <w:rsid w:val="00FA0A3C"/>
    <w:rsid w:val="00FB1C0D"/>
    <w:rsid w:val="00FB796D"/>
    <w:rsid w:val="00FB7E31"/>
    <w:rsid w:val="00FC7657"/>
    <w:rsid w:val="00FC7C75"/>
    <w:rsid w:val="00FD3B32"/>
    <w:rsid w:val="00FD5AAA"/>
    <w:rsid w:val="00FE3433"/>
    <w:rsid w:val="00FE4CC6"/>
    <w:rsid w:val="00FF2982"/>
    <w:rsid w:val="018351D3"/>
    <w:rsid w:val="022A76A2"/>
    <w:rsid w:val="04E004E4"/>
    <w:rsid w:val="0C02203A"/>
    <w:rsid w:val="0F781DE9"/>
    <w:rsid w:val="111F1DC5"/>
    <w:rsid w:val="132938A7"/>
    <w:rsid w:val="150D5DBD"/>
    <w:rsid w:val="165A6B8F"/>
    <w:rsid w:val="16722D41"/>
    <w:rsid w:val="1A8D2A8A"/>
    <w:rsid w:val="1B3721C8"/>
    <w:rsid w:val="1D986F99"/>
    <w:rsid w:val="206F09E6"/>
    <w:rsid w:val="23B00375"/>
    <w:rsid w:val="25BE0B51"/>
    <w:rsid w:val="261135C0"/>
    <w:rsid w:val="2A1625DB"/>
    <w:rsid w:val="2A5338EA"/>
    <w:rsid w:val="2C3F4109"/>
    <w:rsid w:val="2CBA340D"/>
    <w:rsid w:val="2FC8070E"/>
    <w:rsid w:val="37D56F64"/>
    <w:rsid w:val="3AA90348"/>
    <w:rsid w:val="3C316B8F"/>
    <w:rsid w:val="3E6C251C"/>
    <w:rsid w:val="40D92EA8"/>
    <w:rsid w:val="434516F3"/>
    <w:rsid w:val="45B9187E"/>
    <w:rsid w:val="45FE0F57"/>
    <w:rsid w:val="47AA55C9"/>
    <w:rsid w:val="4826045A"/>
    <w:rsid w:val="4A820ACB"/>
    <w:rsid w:val="4D1F31E5"/>
    <w:rsid w:val="4D4620F8"/>
    <w:rsid w:val="4E2125BB"/>
    <w:rsid w:val="4EDB3163"/>
    <w:rsid w:val="506801D9"/>
    <w:rsid w:val="531A0645"/>
    <w:rsid w:val="5366683E"/>
    <w:rsid w:val="54674C4C"/>
    <w:rsid w:val="576864E0"/>
    <w:rsid w:val="5BAC18ED"/>
    <w:rsid w:val="5D0551B7"/>
    <w:rsid w:val="603E6863"/>
    <w:rsid w:val="60A65B5E"/>
    <w:rsid w:val="648835E8"/>
    <w:rsid w:val="6CAB215D"/>
    <w:rsid w:val="6D48568F"/>
    <w:rsid w:val="72077BBF"/>
    <w:rsid w:val="761839D3"/>
    <w:rsid w:val="76A73798"/>
    <w:rsid w:val="79D96B4D"/>
    <w:rsid w:val="7DA55BA5"/>
    <w:rsid w:val="7EDA20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unhideWhenUsed/>
    <w:qFormat/>
    <w:uiPriority w:val="99"/>
    <w:rPr>
      <w:b/>
      <w:bCs/>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character" w:styleId="11">
    <w:name w:val="annotation reference"/>
    <w:basedOn w:val="9"/>
    <w:unhideWhenUsed/>
    <w:qFormat/>
    <w:uiPriority w:val="99"/>
    <w:rPr>
      <w:sz w:val="21"/>
      <w:szCs w:val="21"/>
    </w:rPr>
  </w:style>
  <w:style w:type="character" w:customStyle="1" w:styleId="12">
    <w:name w:val="批注框文本 字符"/>
    <w:basedOn w:val="9"/>
    <w:link w:val="3"/>
    <w:semiHidden/>
    <w:qFormat/>
    <w:uiPriority w:val="99"/>
    <w:rPr>
      <w:kern w:val="2"/>
      <w:sz w:val="18"/>
      <w:szCs w:val="18"/>
    </w:rPr>
  </w:style>
  <w:style w:type="character" w:customStyle="1" w:styleId="13">
    <w:name w:val="批注文字 字符"/>
    <w:basedOn w:val="9"/>
    <w:link w:val="2"/>
    <w:semiHidden/>
    <w:qFormat/>
    <w:uiPriority w:val="99"/>
    <w:rPr>
      <w:kern w:val="2"/>
      <w:sz w:val="21"/>
      <w:szCs w:val="24"/>
    </w:rPr>
  </w:style>
  <w:style w:type="character" w:customStyle="1" w:styleId="14">
    <w:name w:val="批注主题 字符"/>
    <w:basedOn w:val="13"/>
    <w:link w:val="6"/>
    <w:semiHidden/>
    <w:qFormat/>
    <w:uiPriority w:val="99"/>
    <w:rPr>
      <w:b/>
      <w:bCs/>
      <w:kern w:val="2"/>
      <w:sz w:val="21"/>
      <w:szCs w:val="24"/>
    </w:rPr>
  </w:style>
  <w:style w:type="character" w:customStyle="1" w:styleId="15">
    <w:name w:val="页眉 字符"/>
    <w:basedOn w:val="9"/>
    <w:link w:val="5"/>
    <w:semiHidden/>
    <w:qFormat/>
    <w:uiPriority w:val="99"/>
    <w:rPr>
      <w:kern w:val="2"/>
      <w:sz w:val="18"/>
      <w:szCs w:val="18"/>
    </w:rPr>
  </w:style>
  <w:style w:type="character" w:customStyle="1" w:styleId="16">
    <w:name w:val="页脚 字符"/>
    <w:basedOn w:val="9"/>
    <w:link w:val="4"/>
    <w:semiHidden/>
    <w:qFormat/>
    <w:uiPriority w:val="99"/>
    <w:rPr>
      <w:kern w:val="2"/>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95A68B-3680-4C32-82C7-F42259E47B29}">
  <ds:schemaRefs/>
</ds:datastoreItem>
</file>

<file path=docProps/app.xml><?xml version="1.0" encoding="utf-8"?>
<Properties xmlns="http://schemas.openxmlformats.org/officeDocument/2006/extended-properties" xmlns:vt="http://schemas.openxmlformats.org/officeDocument/2006/docPropsVTypes">
  <Template>Normal</Template>
  <Pages>2</Pages>
  <Words>1299</Words>
  <Characters>1496</Characters>
  <Lines>11</Lines>
  <Paragraphs>3</Paragraphs>
  <TotalTime>0</TotalTime>
  <ScaleCrop>false</ScaleCrop>
  <LinksUpToDate>false</LinksUpToDate>
  <CharactersWithSpaces>1545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2020-10-05T06:23:00Z</dcterms:created>
  <dc:creator>Administrator</dc:creator>
  <cp:lastModifiedBy>WPS_1522117043</cp:lastModifiedBy>
  <cp:lastPrinted>2017-06-29T02:21:00Z</cp:lastPrinted>
  <dcterms:modified xsi:type="dcterms:W3CDTF">2022-11-15T11:44:36Z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6430F31D2EB64BADA48BF752F3BB2D98</vt:lpwstr>
  </property>
</Properties>
</file>